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</w:t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ПРАВИТЕЛЬСТВО ЕВРЕЙСКОЙ АВТОНОМНОЙ ОБЛАСТИ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ПОСТАНОВЛЕНИЕ</w:t>
      </w:r>
      <w:r/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___________________                                                                 №_________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г. Биробиджан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1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0" o:spid="_x0000_s0000" style="position:absolute;z-index:251659264;o:allowoverlap:true;o:allowincell:false;mso-position-horizontal-relative:text;margin-left:195.8pt;mso-position-horizontal:absolute;mso-position-vertical-relative:text;margin-top:21.6pt;mso-position-vertical:absolute;width:14.4pt;height:7.2pt;mso-wrap-distance-left:9.0pt;mso-wrap-distance-top:0.0pt;mso-wrap-distance-right:9.0pt;mso-wrap-distance-bottom:0.0pt;" coordorigin="57,38" coordsize="2,1">
                <v:line id="shape 1" o:spid="_x0000_s1" style="position:absolute;left:0;text-align:left;z-index:251659264;visibility:visible;" from="195.8pt,21.6pt" to="210.2pt,28.8pt" filled="f" strokecolor="#000000" strokeweight="0.75pt">
                  <w10:wrap type="topAndBottom"/>
                </v:line>
                <v:line id="shape 2" o:spid="_x0000_s2" style="position:absolute;left:0;text-align:left;z-index:251659264;visibility:visible;" from="195.8pt,21.6pt" to="210.2pt,28.8pt" filled="f" strokecolor="#000000" strokeweight="0.75pt"/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2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0000" style="position:absolute;z-index:251660288;o:allowoverlap:true;o:allowincell:false;mso-position-horizontal-relative:text;margin-left:23.0pt;mso-position-horizontal:absolute;mso-position-vertical-relative:text;margin-top:21.6pt;mso-position-vertical:absolute;width:14.4pt;height:7.2pt;mso-wrap-distance-left:9.0pt;mso-wrap-distance-top:0.0pt;mso-wrap-distance-right:9.0pt;mso-wrap-distance-bottom:0.0pt;" coordorigin="21,38" coordsize="2,1">
                <v:line id="shape 4" o:spid="_x0000_s4" style="position:absolute;left:0;text-align:left;z-index:251660288;visibility:visible;" from="23.0pt,21.6pt" to="37.4pt,28.8pt" filled="f" strokecolor="#000000" strokeweight="0.75pt">
                  <w10:wrap type="topAndBottom"/>
                </v:line>
                <v:line id="shape 5" o:spid="_x0000_s5" style="position:absolute;left:0;text-align:left;z-index:251660288;visibility:visible;" from="23.0pt,21.6pt" to="37.4pt,28.8pt" filled="f" strokecolor="#000000" strokeweight="0.75pt"/>
              </v:group>
            </w:pict>
          </mc:Fallback>
        </mc:AlternateConten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дополнения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некоторые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правительства Еврейской автономной области </w:t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2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Правительство Еврейской автономной области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ПОСТАНОВЛЯЕТ: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/>
      <w:bookmarkStart w:id="0" w:name="Par14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Внести в Порядок возмещения выпадающих доходов</w:t>
      </w:r>
      <w:r>
        <w:rPr>
          <w:rFonts w:ascii="Times New Roman" w:hAnsi="Times New Roman" w:cs="Times New Roman"/>
          <w:sz w:val="28"/>
          <w:szCs w:val="28"/>
        </w:rPr>
        <w:t xml:space="preserve">, связанных с предоставление льготного проезда на междугороднем и пригородном автомобильном транспорте общего пользования (кроме такси) по территории Еврейской автономной области отдельным категориям граждан на основании студенческого проездного 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лета, утвержденный постановлением правительства Еврейской автономной области от 17.02.2017 № 42-пп </w:t>
        <w:br/>
        <w:t xml:space="preserve">«О реализации закона Еврейской автономной области от 26.07.2006 </w:t>
        <w:br/>
        <w:t xml:space="preserve">№ 741-ОЗ «О мере социальной поддержки по предоставлению льготного проезда на междугородном </w:t>
      </w:r>
      <w:r>
        <w:rPr>
          <w:rFonts w:ascii="Times New Roman" w:hAnsi="Times New Roman" w:cs="Times New Roman"/>
          <w:sz w:val="28"/>
          <w:szCs w:val="28"/>
        </w:rPr>
        <w:t xml:space="preserve">и пригородном</w:t>
      </w:r>
      <w:r>
        <w:rPr>
          <w:rFonts w:ascii="Times New Roman" w:hAnsi="Times New Roman" w:cs="Times New Roman"/>
          <w:sz w:val="28"/>
          <w:szCs w:val="28"/>
        </w:rPr>
        <w:t xml:space="preserve"> автомобильном транспорте общего пользования по территории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 xml:space="preserve">», следующ</w:t>
      </w:r>
      <w:r>
        <w:rPr>
          <w:rFonts w:ascii="Times New Roman" w:hAnsi="Times New Roman" w:cs="Times New Roman"/>
          <w:sz w:val="28"/>
          <w:szCs w:val="28"/>
        </w:rPr>
        <w:t xml:space="preserve">ие</w:t>
      </w:r>
      <w:r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1.1. абзац 4 пункта 3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 автоперевозчики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исп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евышает 25 процентов (если иное не предусмотрено законодательством Российской Федерации)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1.2. подпункт 6.4 пункта 6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6.4. Справки, подписанной автоперевозчиком и главным бухгалтером (при наличии) подтверждающая, что автоперевозчик по состоянию на дату не ранее чем 20-е число месяца, предшествующей месяцу подачи заявления о предоставлении су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сидии,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иное не предусмотрено законодательством Российской Федерации).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.3.</w:t>
      </w:r>
      <w:r>
        <w:rPr>
          <w:rFonts w:ascii="Times New Roman" w:hAnsi="Times New Roman" w:cs="Times New Roman"/>
          <w:sz w:val="28"/>
          <w:szCs w:val="28"/>
        </w:rPr>
        <w:t xml:space="preserve"> абзац второй </w:t>
      </w:r>
      <w:r>
        <w:rPr>
          <w:rFonts w:ascii="Times New Roman" w:hAnsi="Times New Roman" w:cs="Times New Roman"/>
          <w:sz w:val="28"/>
          <w:szCs w:val="28"/>
        </w:rPr>
        <w:t xml:space="preserve">пункта 11 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Прием, подсчет и уничтожение контрольных талонов, приложенных к счетам, выставленным автоперевозчиками в соответствии с соглашениями, предусмотренными пунктом 4 настоящего Порядка, производятся </w:t>
        <w:br/>
        <w:t xml:space="preserve">ОГБУ «МФЦ» один раз в месяц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. Внести в Порядок возмещения выпадающих доходов, связанных с предо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с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тавлением проезда автомобильным транспортом общего пользования (кроме такси) на территории Еврейской автономной области на основании единого социального проездного билета, утвержденный постановлением правительства Еврейской автономной области от 17.08.2007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№ 231-пп </w:t>
        <w:br/>
        <w:t xml:space="preserve">«О перевозках по единому социальному проездному билету», следующие изменения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  <w:lang w:eastAsia="ru-RU"/>
        </w:rPr>
        <w:t xml:space="preserve">2.1. абзац 8 пункта 2 изложить в следующей редакции: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  <w:lang w:eastAsia="ru-RU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 автоперевозчики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исп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евышает 25 процентов (если иное не предусмотрено законодательством Российской Федерации)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Theme="minorEastAsia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  <w:lang w:eastAsia="ru-RU"/>
        </w:rPr>
        <w:t xml:space="preserve">2.2. подпункт 5.4. пункта 5 изложить в следующей редакции: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  <w:lang w:eastAsia="ru-RU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5.4. Справки, подписанной автоперевозчиком и главным бухгалтером (при наличии) подтверждающей, что автоперевозчик по состоянию на дату не ранее чем 20-е число месяца, предшествующего месяцу подачи заявления о предоставлении су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сидии,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иное не предусмотрено законодательством Российской Федерации).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.3. абзац третий пункта 10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Прием, подсчет и уничтожение контрольных талонов, приложенных к счетам, представленным автоперевозчиками в соответствии с соглашениями, предусмотренными пунктом 3 настоящего Порядка, производится соответственно ОГБУ «МФЦ» один раз в месяц.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3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. 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Поря</w:t>
      </w:r>
      <w:r>
        <w:rPr>
          <w:rFonts w:ascii="Times New Roman" w:hAnsi="Times New Roman" w:cs="Times New Roman"/>
          <w:sz w:val="28"/>
          <w:szCs w:val="28"/>
        </w:rPr>
        <w:t xml:space="preserve">док возмещения выпадающих доходов автоперевозчикам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осуществляющим перевозки отдельных категорий граждан автомобильным транспортом общего пользования (кроме такси) по межмуниципальным маршрутам регулярных перевозок, перечень которых утверждается правительством Еврейской автономной области, утвержденный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постан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овлением правительства Еврейской автономной области от 04.08.2022 № 323-пп «О предоставлении отдель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ным категориям граждан меры социальной поддержки по льготному проезду на автомобильном транспорте общего пользования (кроме такси) по межмуниципальным маршрутам регулярных перевозок, перечень которых утверждается правительством Еврейской автономной области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»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,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3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.1. абзац 8 пункта 2 изложить в следующей редакции: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 автоперевозчики не являются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исп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евышает 25 процентов (если иное не предусмотрено законодательством Российской Федерации);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3.2. Подпункт 5.4 пункта 5 изложить в следующей редакции:</w:t>
      </w: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5.4. Справки, подписанной автоперевозчиком и главным бухгалтером (при наличии) подтверждающей, что автоперевозчик по состоянию на дату не ранее чем 20-е число месяца, предшествующего месяцу подачи заявления о предоставлении су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сидии,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иное не предусмотрено законодательством Российской Федерации).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 Внести в Порядок выплаты социального пособия на погребение,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постан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овлением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от 16.06.2023 № 254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-пп «Об утверждении порядка выплаты социального пособия на погребение и порядка возмещения специализированным службам по вопросам похоронного дела стоимости услуг, представляемых согласно гарантированному перечню услуг по погребению» следующее дополнение: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4.1. Дополнить пункт 4 абзацем пятым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«Заявитель несет ответственность за недостоверность сведений, указанных в заявлении на выплату социального пособия на погребение, а также в представленных им документах (сведениях)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 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постановление вступает в силу после дня его официального опубликования.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Губернатор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Р.Э. Гольдштейн</w:t>
      </w:r>
      <w:r/>
    </w:p>
    <w:sectPr>
      <w:headerReference w:type="default" r:id="rId8"/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8</w:t>
    </w:r>
    <w: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4"/>
    <w:next w:val="844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5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4"/>
    <w:next w:val="844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5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5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5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5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5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5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5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4"/>
    <w:next w:val="844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5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844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4"/>
    <w:next w:val="844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5"/>
    <w:link w:val="688"/>
    <w:uiPriority w:val="10"/>
    <w:rPr>
      <w:sz w:val="48"/>
      <w:szCs w:val="48"/>
    </w:rPr>
  </w:style>
  <w:style w:type="paragraph" w:styleId="690">
    <w:name w:val="Subtitle"/>
    <w:basedOn w:val="844"/>
    <w:next w:val="844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basedOn w:val="845"/>
    <w:link w:val="690"/>
    <w:uiPriority w:val="11"/>
    <w:rPr>
      <w:sz w:val="24"/>
      <w:szCs w:val="24"/>
    </w:rPr>
  </w:style>
  <w:style w:type="paragraph" w:styleId="692">
    <w:name w:val="Quote"/>
    <w:basedOn w:val="844"/>
    <w:next w:val="844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4"/>
    <w:next w:val="844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character" w:styleId="696">
    <w:name w:val="Header Char"/>
    <w:basedOn w:val="845"/>
    <w:link w:val="848"/>
    <w:uiPriority w:val="99"/>
  </w:style>
  <w:style w:type="character" w:styleId="697">
    <w:name w:val="Footer Char"/>
    <w:basedOn w:val="845"/>
    <w:link w:val="850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850"/>
    <w:uiPriority w:val="99"/>
  </w:style>
  <w:style w:type="table" w:styleId="700">
    <w:name w:val="Table Grid"/>
    <w:basedOn w:val="8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45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5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paragraph" w:styleId="848">
    <w:name w:val="Header"/>
    <w:basedOn w:val="844"/>
    <w:link w:val="849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9" w:customStyle="1">
    <w:name w:val="Верхний колонтитул Знак"/>
    <w:basedOn w:val="845"/>
    <w:link w:val="84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0">
    <w:name w:val="Footer"/>
    <w:basedOn w:val="844"/>
    <w:link w:val="85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1" w:customStyle="1">
    <w:name w:val="Нижний колонтитул Знак"/>
    <w:basedOn w:val="845"/>
    <w:link w:val="85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2">
    <w:name w:val="Balloon Text"/>
    <w:basedOn w:val="844"/>
    <w:link w:val="85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3" w:customStyle="1">
    <w:name w:val="Текст выноски Знак"/>
    <w:basedOn w:val="845"/>
    <w:link w:val="852"/>
    <w:uiPriority w:val="99"/>
    <w:semiHidden/>
    <w:rPr>
      <w:rFonts w:ascii="Tahoma" w:hAnsi="Tahoma" w:cs="Tahoma"/>
      <w:sz w:val="16"/>
      <w:szCs w:val="16"/>
    </w:rPr>
  </w:style>
  <w:style w:type="paragraph" w:styleId="854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Ефимова Любовь Анатольевна</dc:creator>
  <cp:revision>45</cp:revision>
  <dcterms:created xsi:type="dcterms:W3CDTF">2021-02-19T01:17:00Z</dcterms:created>
  <dcterms:modified xsi:type="dcterms:W3CDTF">2023-08-28T02:59:39Z</dcterms:modified>
</cp:coreProperties>
</file>